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生物医学工程研究的伦理及学术道德</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649"/>
        <w:gridCol w:w="747"/>
        <w:gridCol w:w="529"/>
        <w:gridCol w:w="677"/>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课程基本信息（</w:t>
            </w:r>
            <w:r>
              <w:rPr>
                <w:rStyle w:val="8"/>
                <w:rFonts w:eastAsia="宋体"/>
                <w:lang w:bidi="ar"/>
              </w:rPr>
              <w:t>Course Information</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0"/>
                <w:rFonts w:hint="default" w:ascii="Times New Roman" w:hAnsi="Times New Roman" w:cs="Times New Roman"/>
                <w:lang w:bidi="ar"/>
              </w:rPr>
              <w:t>（</w:t>
            </w:r>
            <w:r>
              <w:rPr>
                <w:rStyle w:val="9"/>
                <w:rFonts w:eastAsia="微软雅黑"/>
                <w:lang w:bidi="ar"/>
              </w:rPr>
              <w:t>Course Code</w:t>
            </w:r>
            <w:r>
              <w:rPr>
                <w:rStyle w:val="10"/>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sz w:val="18"/>
                <w:szCs w:val="18"/>
              </w:rPr>
              <w:t>BI918</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学时（</w:t>
            </w:r>
            <w:r>
              <w:rPr>
                <w:rStyle w:val="9"/>
                <w:rFonts w:eastAsia="宋体"/>
                <w:lang w:bidi="ar"/>
              </w:rPr>
              <w:t>Credit Hours</w:t>
            </w:r>
            <w:r>
              <w:rPr>
                <w:rStyle w:val="10"/>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学分（</w:t>
            </w:r>
            <w:r>
              <w:rPr>
                <w:rStyle w:val="9"/>
                <w:rFonts w:eastAsia="宋体"/>
                <w:lang w:bidi="ar"/>
              </w:rPr>
              <w:t>Credits</w:t>
            </w:r>
            <w:r>
              <w:rPr>
                <w:rStyle w:val="10"/>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课程名称（</w:t>
            </w:r>
            <w:r>
              <w:rPr>
                <w:rStyle w:val="9"/>
                <w:rFonts w:eastAsia="宋体"/>
                <w:lang w:bidi="ar"/>
              </w:rPr>
              <w:t>Course Name</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生物医学工程研究的伦理及学术道德</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 xml:space="preserve">Ethics in Biomedical Engineering Research </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9"/>
                <w:rFonts w:eastAsia="微软雅黑"/>
                <w:lang w:bidi="ar"/>
              </w:rPr>
              <w:t xml:space="preserve"> (Course Type)</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可选项为：专业必修课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0"/>
                <w:rFonts w:hint="default" w:ascii="Times New Roman" w:hAnsi="Times New Roman" w:cs="Times New Roman"/>
                <w:lang w:bidi="ar"/>
              </w:rPr>
              <w:t>（</w:t>
            </w:r>
            <w:r>
              <w:rPr>
                <w:rStyle w:val="9"/>
                <w:rFonts w:eastAsia="微软雅黑"/>
                <w:lang w:bidi="ar"/>
              </w:rPr>
              <w:t>Target Audience</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9"/>
                <w:rFonts w:eastAsia="微软雅黑"/>
                <w:lang w:bidi="ar"/>
              </w:rPr>
              <w:t xml:space="preserve"> (Language of Instruction)</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开课院系（</w:t>
            </w:r>
            <w:r>
              <w:rPr>
                <w:rStyle w:val="9"/>
                <w:rFonts w:eastAsia="宋体"/>
                <w:lang w:bidi="ar"/>
              </w:rPr>
              <w:t>School</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0"/>
                <w:rFonts w:hint="default" w:ascii="Times New Roman" w:hAnsi="Times New Roman" w:cs="Times New Roman"/>
                <w:lang w:bidi="ar"/>
              </w:rPr>
              <w:t>（</w:t>
            </w:r>
            <w:r>
              <w:rPr>
                <w:rStyle w:val="9"/>
                <w:rFonts w:eastAsia="微软雅黑"/>
                <w:lang w:bidi="ar"/>
              </w:rPr>
              <w:t>Prerequisite</w:t>
            </w:r>
            <w:r>
              <w:rPr>
                <w:rStyle w:val="10"/>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无</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9"/>
                <w:rFonts w:eastAsia="微软雅黑"/>
                <w:color w:val="auto"/>
                <w:lang w:bidi="ar"/>
              </w:rPr>
              <w:br w:type="textWrapping"/>
            </w:r>
            <w:r>
              <w:rPr>
                <w:rStyle w:val="9"/>
                <w:rFonts w:eastAsia="微软雅黑"/>
                <w:color w:val="auto"/>
                <w:lang w:bidi="ar"/>
              </w:rPr>
              <w:t>(post</w:t>
            </w:r>
            <w:r>
              <w:rPr>
                <w:rStyle w:val="10"/>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无</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课程负责人（</w:t>
            </w:r>
            <w:r>
              <w:rPr>
                <w:rStyle w:val="9"/>
                <w:rFonts w:eastAsia="微软雅黑"/>
                <w:lang w:bidi="ar"/>
              </w:rPr>
              <w:t>Instructor</w:t>
            </w:r>
            <w:r>
              <w:rPr>
                <w:rStyle w:val="10"/>
                <w:rFonts w:hint="default" w:ascii="Times New Roman" w:hAnsi="Times New Roman" w:cs="Times New Roman"/>
                <w:lang w:bidi="ar"/>
              </w:rPr>
              <w:t>）</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童善保</w:t>
            </w:r>
          </w:p>
        </w:tc>
        <w:tc>
          <w:tcPr>
            <w:tcW w:w="195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9"/>
                <w:rFonts w:eastAsia="微软雅黑"/>
                <w:color w:val="auto"/>
                <w:lang w:bidi="ar"/>
              </w:rPr>
              <w:br w:type="textWrapping"/>
            </w:r>
            <w:r>
              <w:rPr>
                <w:rStyle w:val="9"/>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na</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课程简介（中文）（</w:t>
            </w:r>
            <w:r>
              <w:rPr>
                <w:rStyle w:val="9"/>
                <w:rFonts w:eastAsia="宋体"/>
                <w:lang w:bidi="ar"/>
              </w:rPr>
              <w:t>Description</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9"/>
                <w:rFonts w:eastAsia="微软雅黑"/>
                <w:color w:val="auto"/>
                <w:lang w:bidi="ar"/>
              </w:rPr>
              <w:t>300-500</w:t>
            </w:r>
            <w:r>
              <w:rPr>
                <w:rStyle w:val="10"/>
                <w:rFonts w:hint="default" w:ascii="Times New Roman" w:hAnsi="Times New Roman" w:cs="Times New Roman"/>
                <w:color w:val="auto"/>
                <w:lang w:bidi="ar"/>
              </w:rPr>
              <w:t>字，含课程性质、主要教学内容、课程教学目标等）</w:t>
            </w:r>
          </w:p>
          <w:p>
            <w:pPr>
              <w:widowControl/>
              <w:spacing w:beforeAutospacing="1" w:afterAutospacing="1"/>
              <w:jc w:val="left"/>
            </w:pPr>
            <w:r>
              <w:rPr>
                <w:kern w:val="0"/>
                <w:szCs w:val="21"/>
                <w:lang w:bidi="ar"/>
              </w:rPr>
              <w:t>生物医学伦理及学术规范是生物医学研究的重要基本原则，</w:t>
            </w:r>
            <w:r>
              <w:rPr>
                <w:rFonts w:ascii="Calibri" w:hAnsi="Calibri" w:cs="Calibri"/>
                <w:kern w:val="0"/>
                <w:szCs w:val="21"/>
                <w:lang w:bidi="ar"/>
              </w:rPr>
              <w:t>本课程作为生物医学工程专业的本科生、研究生</w:t>
            </w:r>
            <w:r>
              <w:rPr>
                <w:kern w:val="0"/>
                <w:szCs w:val="21"/>
                <w:lang w:bidi="ar"/>
              </w:rPr>
              <w:t>的</w:t>
            </w:r>
            <w:r>
              <w:rPr>
                <w:rFonts w:ascii="Calibri" w:hAnsi="Calibri" w:cs="Calibri"/>
                <w:kern w:val="0"/>
                <w:szCs w:val="21"/>
                <w:lang w:bidi="ar"/>
              </w:rPr>
              <w:t>短期选修课程，在16个学时的时间内容，讲授生物医学研究的基本伦理问题，工程设计论题问题，</w:t>
            </w:r>
            <w:r>
              <w:rPr>
                <w:kern w:val="0"/>
                <w:szCs w:val="21"/>
                <w:lang w:bidi="ar"/>
              </w:rPr>
              <w:t>人体、医学及动物实验的伦理，</w:t>
            </w:r>
            <w:r>
              <w:rPr>
                <w:rFonts w:ascii="Calibri" w:hAnsi="Calibri" w:cs="Calibri"/>
                <w:kern w:val="0"/>
                <w:szCs w:val="21"/>
                <w:lang w:bidi="ar"/>
              </w:rPr>
              <w:t>学术论文的写作规范，学术交流和合作的规范。</w:t>
            </w:r>
            <w:r>
              <w:rPr>
                <w:kern w:val="0"/>
                <w:szCs w:val="21"/>
                <w:lang w:bidi="ar"/>
              </w:rPr>
              <w:t> </w:t>
            </w:r>
            <w:r>
              <w:rPr>
                <w:kern w:val="0"/>
                <w:sz w:val="24"/>
                <w:lang w:bidi="ar"/>
              </w:rPr>
              <w:t xml:space="preserve"> </w:t>
            </w:r>
          </w:p>
          <w:p>
            <w:pPr>
              <w:widowControl/>
              <w:spacing w:beforeAutospacing="1" w:afterAutospacing="1"/>
              <w:jc w:val="left"/>
            </w:pPr>
            <w:r>
              <w:rPr>
                <w:rFonts w:ascii="Calibri" w:hAnsi="Calibri" w:cs="Calibri"/>
                <w:kern w:val="0"/>
                <w:szCs w:val="21"/>
                <w:lang w:bidi="ar"/>
              </w:rPr>
              <w:t>主要内容包括：</w:t>
            </w:r>
            <w:r>
              <w:rPr>
                <w:kern w:val="0"/>
                <w:sz w:val="24"/>
                <w:lang w:bidi="ar"/>
              </w:rPr>
              <w:t xml:space="preserve"> </w:t>
            </w:r>
          </w:p>
          <w:p>
            <w:pPr>
              <w:widowControl/>
              <w:spacing w:beforeAutospacing="1" w:afterAutospacing="1"/>
              <w:jc w:val="left"/>
            </w:pPr>
            <w:r>
              <w:rPr>
                <w:kern w:val="0"/>
                <w:szCs w:val="21"/>
                <w:lang w:bidi="ar"/>
              </w:rPr>
              <w:t>生物医学研究中的伦理问题，重点讲述动物饲养、使用规范；药品实际的使用规范；临床研究的伦理问题；伦理委员会；工程设计中的伦理问题；学术论文的剽窃的定义和处罚；学术研究合作/交流中的规范；</w:t>
            </w:r>
            <w:r>
              <w:rPr>
                <w:kern w:val="0"/>
                <w:sz w:val="24"/>
                <w:lang w:bidi="ar"/>
              </w:rPr>
              <w:t xml:space="preserve"> </w:t>
            </w:r>
          </w:p>
          <w:p>
            <w:pPr>
              <w:widowControl/>
              <w:spacing w:beforeAutospacing="1" w:afterAutospacing="1"/>
              <w:jc w:val="left"/>
            </w:pPr>
            <w:r>
              <w:rPr>
                <w:rFonts w:ascii="Calibri" w:hAnsi="Calibri" w:cs="Calibri"/>
                <w:kern w:val="0"/>
                <w:szCs w:val="21"/>
                <w:lang w:bidi="ar"/>
              </w:rPr>
              <w:t>课程目标：</w:t>
            </w:r>
            <w:r>
              <w:rPr>
                <w:kern w:val="0"/>
                <w:szCs w:val="21"/>
                <w:lang w:bidi="ar"/>
              </w:rPr>
              <w:t> 通过本课程，让学生了解生物医学研究，工程设计，学术论文写作、合作中的基本规范</w:t>
            </w:r>
            <w:r>
              <w:rPr>
                <w:kern w:val="0"/>
                <w:sz w:val="24"/>
                <w:lang w:bidi="ar"/>
              </w:rPr>
              <w:t xml:space="preserve"> </w:t>
            </w:r>
          </w:p>
          <w:p>
            <w:pPr>
              <w:widowControl/>
              <w:spacing w:beforeAutospacing="1" w:afterAutospacing="1"/>
              <w:jc w:val="left"/>
              <w:rPr>
                <w:rStyle w:val="10"/>
                <w:rFonts w:hint="default" w:ascii="Times New Roman" w:hAnsi="Times New Roman" w:cs="Times New Roman"/>
                <w:color w:val="auto"/>
                <w:lang w:bidi="ar"/>
              </w:rPr>
            </w:pPr>
            <w:r>
              <w:rPr>
                <w:rFonts w:ascii="Calibri" w:hAnsi="Calibri" w:cs="Calibri"/>
                <w:kern w:val="0"/>
                <w:szCs w:val="21"/>
                <w:lang w:bidi="ar"/>
              </w:rPr>
              <w:t>课程结合实际范例，以讲座、报告、讨论为主，向学生阐明上面各内容，面向生物医学工程专本科生，以及任何阶段的研究生。</w:t>
            </w:r>
            <w:r>
              <w:rPr>
                <w:kern w:val="0"/>
                <w:sz w:val="24"/>
                <w:lang w:bidi="ar"/>
              </w:rPr>
              <w:t xml:space="preserve"> </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课程简介（英文）（</w:t>
            </w:r>
            <w:r>
              <w:rPr>
                <w:rStyle w:val="9"/>
                <w:rFonts w:eastAsia="宋体"/>
                <w:lang w:bidi="ar"/>
              </w:rPr>
              <w:t>Description</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240"/>
              <w:jc w:val="left"/>
              <w:textAlignment w:val="center"/>
              <w:rPr>
                <w:rStyle w:val="10"/>
                <w:rFonts w:hint="default" w:ascii="Times New Roman" w:hAnsi="Times New Roman" w:cs="Times New Roman"/>
                <w:lang w:bidi="ar"/>
              </w:rPr>
            </w:pPr>
            <w:r>
              <w:rPr>
                <w:rFonts w:ascii="宋体" w:hAnsi="宋体" w:eastAsia="宋体" w:cs="宋体"/>
                <w:sz w:val="24"/>
              </w:rPr>
              <w:t>Summary : Biomedical ethics and academic integrity are the most important components in biomedical research. This course aims to introduce the ethics in biomedical research and academic integrity within sixteen hours. The topics cover the biomedical ethics, ethics in engineering design, integrity of academic paper writing and the research collaborations and communications.  </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Contents:  Biomedical Ethics: animal care and usage, administration of medicine and chemical materials in animal experiments, ethics in the study on human subjects; institutional review board, ethics in biomedical design; plagiarism of paper writing, rules in academic collaborations and commutations.</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 xml:space="preserve">The course can be taught for the senior biomedical engineering undergraduate students, as well as the graduate students in different levels. </w:t>
            </w:r>
          </w:p>
        </w:tc>
      </w:tr>
      <w:tr>
        <w:tblPrEx>
          <w:tblCellMar>
            <w:top w:w="0" w:type="dxa"/>
            <w:left w:w="0" w:type="dxa"/>
            <w:bottom w:w="0" w:type="dxa"/>
            <w:right w:w="0" w:type="dxa"/>
          </w:tblCellMar>
        </w:tblPrEx>
        <w:trPr>
          <w:trHeight w:val="433" w:hRule="atLeast"/>
        </w:trPr>
        <w:tc>
          <w:tcPr>
            <w:tcW w:w="8336" w:type="dxa"/>
            <w:gridSpan w:val="10"/>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课程目标与内容（</w:t>
            </w:r>
            <w:r>
              <w:rPr>
                <w:rStyle w:val="8"/>
                <w:rFonts w:eastAsia="宋体"/>
                <w:lang w:bidi="ar"/>
              </w:rPr>
              <w:t>Course objectives and contents</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课程目标 (Course Object)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宋体" w:hAnsi="宋体" w:eastAsia="宋体" w:cs="宋体"/>
                <w:sz w:val="24"/>
              </w:rPr>
              <w:t>LO1．Obtaining the knowledge on ethics in animal experiment</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LO2．Obtaining the knowledge on clinical study</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LO3．Obtaining the knowledge on the ethics in biomedical engineering design</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LO4．Knowing the definition of plagiarism in scientific writing</w:t>
            </w:r>
            <w:r>
              <w:rPr>
                <w:rFonts w:ascii="宋体" w:hAnsi="宋体" w:eastAsia="宋体" w:cs="宋体"/>
                <w:sz w:val="24"/>
              </w:rPr>
              <w:br w:type="textWrapping"/>
            </w:r>
            <w:r>
              <w:rPr>
                <w:rFonts w:ascii="宋体" w:hAnsi="宋体" w:eastAsia="宋体" w:cs="宋体"/>
                <w:sz w:val="24"/>
              </w:rPr>
              <w:br w:type="textWrapping"/>
            </w:r>
            <w:r>
              <w:rPr>
                <w:rFonts w:ascii="宋体" w:hAnsi="宋体" w:eastAsia="宋体" w:cs="宋体"/>
                <w:sz w:val="24"/>
              </w:rPr>
              <w:t>LO5.  Knowing the rules in laboratory research collaborations and scientific communications.</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毕业要求指标点与课程目标的对应关系</w:t>
            </w:r>
          </w:p>
          <w:p>
            <w:pPr>
              <w:widowControl/>
              <w:jc w:val="center"/>
              <w:textAlignment w:val="center"/>
              <w:rPr>
                <w:rStyle w:val="11"/>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p>
            <w:pPr>
              <w:widowControl/>
              <w:jc w:val="center"/>
              <w:textAlignment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 xml:space="preserve"> 毕业要求1</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毕业要求2</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概述和简介</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概述</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O1,2,3,4,5</w:t>
            </w:r>
          </w:p>
        </w:tc>
      </w:tr>
      <w:tr>
        <w:tblPrEx>
          <w:tblCellMar>
            <w:top w:w="0" w:type="dxa"/>
            <w:left w:w="0" w:type="dxa"/>
            <w:bottom w:w="0" w:type="dxa"/>
            <w:right w:w="0" w:type="dxa"/>
          </w:tblCellMar>
        </w:tblPrEx>
        <w:trPr>
          <w:trHeight w:val="39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18"/>
                <w:szCs w:val="20"/>
              </w:rPr>
            </w:pPr>
            <w:r>
              <w:rPr>
                <w:rFonts w:hint="eastAsia"/>
                <w:sz w:val="18"/>
                <w:szCs w:val="20"/>
              </w:rPr>
              <w:t>工程设计伦理</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工程伦理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cente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3</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动物使用规范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动物实验伦理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临床研究伦理</w:t>
            </w:r>
            <w:r>
              <w:rPr>
                <w:sz w:val="18"/>
                <w:szCs w:val="20"/>
              </w:rPr>
              <w:t xml:space="preserve"> </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临床研究伦理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5</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实验室规范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生物医学实验规范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科研合作规范</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科研交流合作规范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7</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 xml:space="preserve">科研写作规范 </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学术论文写作规范</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w:t>
            </w: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总结和讨论</w:t>
            </w:r>
          </w:p>
        </w:tc>
        <w:tc>
          <w:tcPr>
            <w:tcW w:w="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课程总结</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随堂测试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eastAsia="微软雅黑" w:cs="Times New Roman"/>
                <w:color w:val="000000"/>
                <w:sz w:val="18"/>
                <w:szCs w:val="18"/>
              </w:rPr>
            </w:pPr>
            <w:r>
              <w:rPr>
                <w:rFonts w:hint="eastAsia"/>
              </w:rPr>
              <w:t>结合实际案例分析，培养学生的职业道德和规范</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L</w:t>
            </w:r>
            <w:r>
              <w:rPr>
                <w:rFonts w:ascii="Times New Roman" w:hAnsi="Times New Roman" w:eastAsia="微软雅黑" w:cs="Times New Roman"/>
                <w:color w:val="000000"/>
                <w:sz w:val="18"/>
                <w:szCs w:val="18"/>
              </w:rPr>
              <w:t>O1,2,3,4,5</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9"/>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课程目标达成度评价</w:t>
            </w:r>
          </w:p>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color w:val="C00000"/>
                <w:highlight w:val="yellow"/>
                <w:lang w:bidi="ar"/>
              </w:rPr>
              <w:t>（可暂不填写）</w:t>
            </w:r>
          </w:p>
        </w:tc>
        <w:tc>
          <w:tcPr>
            <w:tcW w:w="1148"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sz w:val="18"/>
                <w:szCs w:val="20"/>
              </w:rPr>
            </w:pPr>
            <w:r>
              <w:rPr>
                <w:rFonts w:hint="eastAsia"/>
                <w:sz w:val="18"/>
                <w:szCs w:val="20"/>
              </w:rPr>
              <w:t>总结和讨论</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114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95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2"/>
                <w:rFonts w:hint="default" w:ascii="Times New Roman" w:hAnsi="Times New Roman" w:cs="Times New Roman"/>
                <w:lang w:bidi="ar"/>
              </w:rPr>
              <w:t>考核方式</w:t>
            </w:r>
            <w:r>
              <w:rPr>
                <w:rStyle w:val="13"/>
                <w:rFonts w:eastAsia="宋体"/>
                <w:lang w:bidi="ar"/>
              </w:rPr>
              <w:t xml:space="preserve"> (Grading)</w:t>
            </w:r>
          </w:p>
        </w:tc>
        <w:tc>
          <w:tcPr>
            <w:tcW w:w="7079" w:type="dxa"/>
            <w:gridSpan w:val="9"/>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pPr>
            <w:r>
              <w:t>出勤：30%， 每缺一次课减5分，缺三次及以上，课程按零分计算；</w:t>
            </w:r>
            <w:r>
              <w:br w:type="textWrapping"/>
            </w:r>
            <w:r>
              <w:t xml:space="preserve">随堂测试: 40%； </w:t>
            </w:r>
          </w:p>
          <w:p>
            <w:pPr>
              <w:widowControl/>
              <w:jc w:val="left"/>
              <w:textAlignment w:val="center"/>
              <w:rPr>
                <w:rFonts w:ascii="Times New Roman" w:hAnsi="Times New Roman" w:eastAsia="微软雅黑" w:cs="Times New Roman"/>
                <w:color w:val="000000"/>
                <w:sz w:val="18"/>
                <w:szCs w:val="18"/>
              </w:rPr>
            </w:pPr>
            <w:r>
              <w:t>作业(案例分析）+PPT：30%</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教材或参考资料</w:t>
            </w:r>
            <w:r>
              <w:rPr>
                <w:rStyle w:val="9"/>
                <w:rFonts w:eastAsia="宋体"/>
                <w:lang w:bidi="ar"/>
              </w:rPr>
              <w:t xml:space="preserve"> (Textbooks &amp; Other Materials)</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教材：无</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p>
          <w:p>
            <w:pPr>
              <w:pStyle w:val="16"/>
              <w:numPr>
                <w:ilvl w:val="0"/>
                <w:numId w:val="1"/>
              </w:numPr>
              <w:ind w:firstLineChars="0"/>
              <w:jc w:val="left"/>
            </w:pPr>
            <w:r>
              <w:rPr>
                <w:rFonts w:ascii="宋体" w:hAnsi="宋体"/>
              </w:rPr>
              <w:t>教师课堂课件</w:t>
            </w:r>
          </w:p>
          <w:p>
            <w:pPr>
              <w:pStyle w:val="16"/>
              <w:numPr>
                <w:ilvl w:val="0"/>
                <w:numId w:val="1"/>
              </w:numPr>
              <w:ind w:firstLineChars="0"/>
              <w:jc w:val="left"/>
            </w:pPr>
            <w:r>
              <w:t xml:space="preserve">David DaGrazia, Biomedical Ethics, </w:t>
            </w:r>
            <w:r>
              <w:rPr>
                <w:rFonts w:ascii="Arial" w:hAnsi="Arial" w:cs="Arial"/>
                <w:color w:val="333333"/>
                <w:sz w:val="20"/>
                <w:szCs w:val="20"/>
              </w:rPr>
              <w:t>McGraw-Hill Humanities/Social Sciences/Languages; 7 edition (June 28, 2010)</w:t>
            </w:r>
            <w:r>
              <w:rPr>
                <w:rFonts w:hint="eastAsia" w:ascii="Arial" w:hAnsi="Arial" w:cs="Arial"/>
                <w:color w:val="333333"/>
                <w:sz w:val="20"/>
                <w:szCs w:val="20"/>
                <w:lang w:eastAsia="zh-CN"/>
              </w:rPr>
              <w:t>，</w:t>
            </w:r>
            <w:r>
              <w:rPr>
                <w:rFonts w:hint="eastAsia" w:ascii="Arial" w:hAnsi="Arial" w:cs="Arial"/>
                <w:color w:val="333333"/>
                <w:sz w:val="20"/>
                <w:szCs w:val="20"/>
                <w:lang w:val="en-US" w:eastAsia="zh-CN"/>
              </w:rPr>
              <w:t>ISBN:</w:t>
            </w:r>
            <w:r>
              <w:rPr>
                <w:rFonts w:ascii="宋体" w:hAnsi="宋体" w:eastAsia="宋体" w:cs="宋体"/>
                <w:sz w:val="24"/>
                <w:szCs w:val="24"/>
              </w:rPr>
              <w:t>978-0073407456</w:t>
            </w:r>
            <w:r>
              <w:rPr>
                <w:rFonts w:hint="eastAsia" w:ascii="Arial" w:hAnsi="Arial" w:cs="Arial"/>
                <w:color w:val="333333"/>
                <w:sz w:val="20"/>
                <w:szCs w:val="20"/>
                <w:lang w:val="en-US" w:eastAsia="zh-CN"/>
              </w:rPr>
              <w:t xml:space="preserve"> </w:t>
            </w:r>
          </w:p>
          <w:p>
            <w:pPr>
              <w:pStyle w:val="16"/>
              <w:numPr>
                <w:ilvl w:val="0"/>
                <w:numId w:val="1"/>
              </w:numPr>
              <w:ind w:firstLineChars="0"/>
              <w:jc w:val="left"/>
            </w:pPr>
            <w:r>
              <w:rPr>
                <w:rFonts w:ascii="Arial" w:hAnsi="Arial" w:cs="Arial"/>
                <w:color w:val="333333"/>
                <w:sz w:val="20"/>
                <w:szCs w:val="20"/>
              </w:rPr>
              <w:t xml:space="preserve">Angelika Hofmann, </w:t>
            </w:r>
            <w:r>
              <w:rPr>
                <w:rStyle w:val="17"/>
                <w:color w:val="333333"/>
              </w:rPr>
              <w:t xml:space="preserve">Scientific Writing and Communication: Papers, Proposals, and Presentation, </w:t>
            </w:r>
            <w:r>
              <w:rPr>
                <w:rFonts w:ascii="Arial" w:hAnsi="Arial" w:cs="Arial"/>
                <w:color w:val="333333"/>
                <w:sz w:val="20"/>
                <w:szCs w:val="20"/>
              </w:rPr>
              <w:t>Oxford University Press; 2 edition (December 27, 2013)</w:t>
            </w:r>
            <w:r>
              <w:rPr>
                <w:rFonts w:hint="eastAsia" w:ascii="Arial" w:hAnsi="Arial" w:cs="Arial"/>
                <w:color w:val="333333"/>
                <w:sz w:val="20"/>
                <w:szCs w:val="20"/>
                <w:lang w:val="en-US" w:eastAsia="zh-CN"/>
              </w:rPr>
              <w:t>,</w:t>
            </w:r>
            <w:r>
              <w:rPr>
                <w:rFonts w:ascii="宋体" w:hAnsi="宋体" w:eastAsia="宋体" w:cs="宋体"/>
                <w:sz w:val="24"/>
                <w:szCs w:val="24"/>
              </w:rPr>
              <w:t>978-0190278540</w:t>
            </w:r>
            <w:bookmarkStart w:id="0" w:name="_GoBack"/>
            <w:bookmarkEnd w:id="0"/>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9"/>
                <w:rFonts w:eastAsia="微软雅黑"/>
                <w:lang w:bidi="ar"/>
              </w:rPr>
              <w:t>More</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9"/>
                <w:rFonts w:eastAsia="微软雅黑"/>
                <w:lang w:bidi="ar"/>
              </w:rPr>
              <w:t>Notes</w:t>
            </w:r>
            <w:r>
              <w:rPr>
                <w:rStyle w:val="10"/>
                <w:rFonts w:hint="default" w:ascii="Times New Roman" w:hAnsi="Times New Roman" w:cs="Times New Roman"/>
                <w:lang w:bidi="ar"/>
              </w:rPr>
              <w:t>）</w:t>
            </w:r>
          </w:p>
        </w:tc>
        <w:tc>
          <w:tcPr>
            <w:tcW w:w="7079"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无</w:t>
            </w:r>
          </w:p>
        </w:tc>
      </w:tr>
      <w:tr>
        <w:tblPrEx>
          <w:tblCellMar>
            <w:top w:w="0" w:type="dxa"/>
            <w:left w:w="0" w:type="dxa"/>
            <w:bottom w:w="0" w:type="dxa"/>
            <w:right w:w="0" w:type="dxa"/>
          </w:tblCellMar>
        </w:tblPrEx>
        <w:trPr>
          <w:trHeight w:val="2617" w:hRule="atLeast"/>
        </w:trPr>
        <w:tc>
          <w:tcPr>
            <w:tcW w:w="8336"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9"/>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9"/>
                <w:rFonts w:eastAsia="微软雅黑"/>
                <w:lang w:bidi="ar"/>
              </w:rPr>
            </w:pPr>
            <w:r>
              <w:rPr>
                <w:rStyle w:val="9"/>
                <w:rFonts w:eastAsia="微软雅黑"/>
                <w:lang w:bidi="ar"/>
              </w:rPr>
              <w:t xml:space="preserve">      1</w:t>
            </w:r>
            <w:r>
              <w:rPr>
                <w:rStyle w:val="10"/>
                <w:rFonts w:hint="default" w:ascii="Times New Roman" w:hAnsi="Times New Roman" w:cs="Times New Roman"/>
                <w:lang w:bidi="ar"/>
              </w:rPr>
              <w:t>．带</w:t>
            </w:r>
            <w:r>
              <w:rPr>
                <w:rStyle w:val="9"/>
                <w:rFonts w:eastAsia="微软雅黑"/>
                <w:lang w:bidi="ar"/>
              </w:rPr>
              <w:t>*</w:t>
            </w:r>
            <w:r>
              <w:rPr>
                <w:rStyle w:val="10"/>
                <w:rFonts w:hint="default" w:ascii="Times New Roman" w:hAnsi="Times New Roman" w:cs="Times New Roman"/>
                <w:lang w:bidi="ar"/>
              </w:rPr>
              <w:t>内容为必填项。</w:t>
            </w:r>
            <w:r>
              <w:rPr>
                <w:rStyle w:val="9"/>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9"/>
                <w:rFonts w:eastAsia="微软雅黑"/>
                <w:lang w:bidi="ar"/>
              </w:rPr>
              <w:t xml:space="preserve">   2</w:t>
            </w:r>
            <w:r>
              <w:rPr>
                <w:rStyle w:val="10"/>
                <w:rFonts w:hint="default" w:ascii="Times New Roman" w:hAnsi="Times New Roman" w:cs="Times New Roman"/>
                <w:lang w:bidi="ar"/>
              </w:rPr>
              <w:t>．课程简介字数为</w:t>
            </w:r>
            <w:r>
              <w:rPr>
                <w:rStyle w:val="9"/>
                <w:rFonts w:eastAsia="微软雅黑"/>
                <w:lang w:bidi="ar"/>
              </w:rPr>
              <w:t>300-500</w:t>
            </w:r>
            <w:r>
              <w:rPr>
                <w:rStyle w:val="10"/>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096C"/>
    <w:multiLevelType w:val="multilevel"/>
    <w:tmpl w:val="3878096C"/>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3A3626"/>
    <w:rsid w:val="004862DE"/>
    <w:rsid w:val="005340F8"/>
    <w:rsid w:val="007C234D"/>
    <w:rsid w:val="008170F3"/>
    <w:rsid w:val="00A61C9F"/>
    <w:rsid w:val="00A93CDD"/>
    <w:rsid w:val="00A971AE"/>
    <w:rsid w:val="00AD012A"/>
    <w:rsid w:val="00D20824"/>
    <w:rsid w:val="00DE7180"/>
    <w:rsid w:val="00E259C6"/>
    <w:rsid w:val="00FD054C"/>
    <w:rsid w:val="04B634E4"/>
    <w:rsid w:val="0C5D0104"/>
    <w:rsid w:val="25724ACC"/>
    <w:rsid w:val="2B2822DF"/>
    <w:rsid w:val="37F14E89"/>
    <w:rsid w:val="579127C7"/>
    <w:rsid w:val="57F64279"/>
    <w:rsid w:val="5F054C16"/>
    <w:rsid w:val="653B4EE8"/>
    <w:rsid w:val="68BC780D"/>
    <w:rsid w:val="68EF671E"/>
    <w:rsid w:val="7889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71"/>
    <w:basedOn w:val="6"/>
    <w:qFormat/>
    <w:uiPriority w:val="0"/>
    <w:rPr>
      <w:rFonts w:ascii="微软雅黑" w:hAnsi="微软雅黑" w:eastAsia="微软雅黑" w:cs="微软雅黑"/>
      <w:color w:val="000000"/>
      <w:sz w:val="28"/>
      <w:szCs w:val="28"/>
      <w:u w:val="none"/>
    </w:rPr>
  </w:style>
  <w:style w:type="character" w:customStyle="1" w:styleId="8">
    <w:name w:val="font91"/>
    <w:basedOn w:val="6"/>
    <w:qFormat/>
    <w:uiPriority w:val="0"/>
    <w:rPr>
      <w:rFonts w:hint="default" w:ascii="Times New Roman" w:hAnsi="Times New Roman" w:cs="Times New Roman"/>
      <w:color w:val="000000"/>
      <w:sz w:val="28"/>
      <w:szCs w:val="28"/>
      <w:u w:val="none"/>
    </w:rPr>
  </w:style>
  <w:style w:type="character" w:customStyle="1" w:styleId="9">
    <w:name w:val="font21"/>
    <w:basedOn w:val="6"/>
    <w:qFormat/>
    <w:uiPriority w:val="0"/>
    <w:rPr>
      <w:rFonts w:hint="default" w:ascii="Times New Roman" w:hAnsi="Times New Roman" w:cs="Times New Roman"/>
      <w:color w:val="000000"/>
      <w:sz w:val="18"/>
      <w:szCs w:val="18"/>
      <w:u w:val="none"/>
    </w:rPr>
  </w:style>
  <w:style w:type="character" w:customStyle="1" w:styleId="10">
    <w:name w:val="font31"/>
    <w:basedOn w:val="6"/>
    <w:qFormat/>
    <w:uiPriority w:val="0"/>
    <w:rPr>
      <w:rFonts w:hint="eastAsia" w:ascii="微软雅黑" w:hAnsi="微软雅黑" w:eastAsia="微软雅黑" w:cs="微软雅黑"/>
      <w:color w:val="000000"/>
      <w:sz w:val="18"/>
      <w:szCs w:val="18"/>
      <w:u w:val="none"/>
    </w:rPr>
  </w:style>
  <w:style w:type="character" w:customStyle="1" w:styleId="11">
    <w:name w:val="font61"/>
    <w:basedOn w:val="6"/>
    <w:qFormat/>
    <w:uiPriority w:val="0"/>
    <w:rPr>
      <w:rFonts w:hint="eastAsia" w:ascii="微软雅黑" w:hAnsi="微软雅黑" w:eastAsia="微软雅黑" w:cs="微软雅黑"/>
      <w:color w:val="FF0000"/>
      <w:sz w:val="18"/>
      <w:szCs w:val="18"/>
      <w:u w:val="none"/>
    </w:rPr>
  </w:style>
  <w:style w:type="character" w:customStyle="1" w:styleId="12">
    <w:name w:val="font81"/>
    <w:basedOn w:val="6"/>
    <w:qFormat/>
    <w:uiPriority w:val="0"/>
    <w:rPr>
      <w:rFonts w:hint="eastAsia" w:ascii="微软雅黑" w:hAnsi="微软雅黑" w:eastAsia="微软雅黑" w:cs="微软雅黑"/>
      <w:color w:val="000000"/>
      <w:sz w:val="18"/>
      <w:szCs w:val="18"/>
      <w:u w:val="none"/>
    </w:rPr>
  </w:style>
  <w:style w:type="character" w:customStyle="1" w:styleId="13">
    <w:name w:val="font01"/>
    <w:basedOn w:val="6"/>
    <w:qFormat/>
    <w:uiPriority w:val="0"/>
    <w:rPr>
      <w:rFonts w:hint="default" w:ascii="Times New Roman" w:hAnsi="Times New Roman" w:cs="Times New Roman"/>
      <w:color w:val="000000"/>
      <w:sz w:val="18"/>
      <w:szCs w:val="18"/>
      <w:u w:val="none"/>
    </w:rPr>
  </w:style>
  <w:style w:type="character" w:customStyle="1" w:styleId="14">
    <w:name w:val="页眉 字符"/>
    <w:basedOn w:val="6"/>
    <w:link w:val="3"/>
    <w:uiPriority w:val="0"/>
    <w:rPr>
      <w:rFonts w:asciiTheme="minorHAnsi" w:hAnsiTheme="minorHAnsi" w:eastAsiaTheme="minorEastAsia" w:cstheme="minorBidi"/>
      <w:kern w:val="2"/>
      <w:sz w:val="18"/>
      <w:szCs w:val="18"/>
    </w:rPr>
  </w:style>
  <w:style w:type="character" w:customStyle="1" w:styleId="15">
    <w:name w:val="页脚 字符"/>
    <w:basedOn w:val="6"/>
    <w:link w:val="2"/>
    <w:qFormat/>
    <w:uiPriority w:val="0"/>
    <w:rPr>
      <w:rFonts w:asciiTheme="minorHAnsi" w:hAnsiTheme="minorHAnsi" w:eastAsiaTheme="minorEastAsia" w:cstheme="minorBidi"/>
      <w:kern w:val="2"/>
      <w:sz w:val="18"/>
      <w:szCs w:val="18"/>
    </w:rPr>
  </w:style>
  <w:style w:type="paragraph" w:customStyle="1" w:styleId="16">
    <w:name w:val="List Paragraph"/>
    <w:basedOn w:val="1"/>
    <w:uiPriority w:val="0"/>
    <w:pPr>
      <w:ind w:firstLine="420" w:firstLineChars="200"/>
    </w:pPr>
    <w:rPr>
      <w:rFonts w:ascii="Calibri" w:hAnsi="Calibri" w:eastAsia="宋体" w:cs="Times New Roman"/>
      <w:szCs w:val="21"/>
    </w:rPr>
  </w:style>
  <w:style w:type="character" w:customStyle="1" w:styleId="17">
    <w:name w:val="15"/>
    <w:basedOn w:val="6"/>
    <w:uiPriority w:val="0"/>
    <w:rPr>
      <w:rFonts w:hint="default" w:ascii="Arial" w:hAnsi="Arial"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510</Words>
  <Characters>2910</Characters>
  <Lines>24</Lines>
  <Paragraphs>6</Paragraphs>
  <TotalTime>12</TotalTime>
  <ScaleCrop>false</ScaleCrop>
  <LinksUpToDate>false</LinksUpToDate>
  <CharactersWithSpaces>3414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2020-09-03T08:28:00Z</dcterms:created>
  <dc:creator>丫丫</dc:creator>
  <cp:lastModifiedBy>Shanbao TONG</cp:lastModifiedBy>
  <dcterms:modified xsi:type="dcterms:W3CDTF">2021-01-25T10:19:38Z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